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78" w:rsidRPr="00091578" w:rsidRDefault="00091578" w:rsidP="00091578">
      <w:pPr>
        <w:widowControl w:val="0"/>
        <w:spacing w:after="0" w:line="240" w:lineRule="auto"/>
        <w:jc w:val="center"/>
        <w:rPr>
          <w:rFonts w:ascii="Sakkal Majalla" w:eastAsia="Times New Roman" w:hAnsi="Sakkal Majalla" w:cs="Sakkal Majalla"/>
          <w:smallCaps/>
          <w:color w:val="000000"/>
          <w:sz w:val="40"/>
          <w:szCs w:val="40"/>
          <w:rtl/>
          <w:lang w:val="en-US" w:bidi="en-US"/>
        </w:rPr>
      </w:pP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Cs w:val="40"/>
          <w:rtl/>
          <w:lang w:val="en-US"/>
        </w:rPr>
        <w:t>كلية</w:t>
      </w: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 w:val="40"/>
          <w:szCs w:val="40"/>
          <w:rtl/>
          <w:lang w:val="en-US" w:bidi="en-US"/>
        </w:rPr>
        <w:t xml:space="preserve"> </w:t>
      </w: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Cs w:val="40"/>
          <w:rtl/>
          <w:lang w:val="en-US"/>
        </w:rPr>
        <w:t>الآداب</w:t>
      </w: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 w:val="40"/>
          <w:szCs w:val="40"/>
          <w:rtl/>
          <w:lang w:val="en-US" w:bidi="en-US"/>
        </w:rPr>
        <w:t xml:space="preserve"> </w:t>
      </w: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Cs w:val="40"/>
          <w:rtl/>
          <w:lang w:val="en-US"/>
        </w:rPr>
        <w:t>و</w:t>
      </w: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 w:val="40"/>
          <w:szCs w:val="40"/>
          <w:rtl/>
          <w:lang w:val="en-US" w:bidi="en-US"/>
        </w:rPr>
        <w:t xml:space="preserve"> </w:t>
      </w: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Cs w:val="40"/>
          <w:rtl/>
          <w:lang w:val="en-US"/>
        </w:rPr>
        <w:t>اللّغات</w:t>
      </w: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 w:val="40"/>
          <w:szCs w:val="40"/>
          <w:rtl/>
          <w:lang w:val="en-US" w:bidi="en-US"/>
        </w:rPr>
        <w:t xml:space="preserve"> </w:t>
      </w:r>
    </w:p>
    <w:p w:rsidR="00091578" w:rsidRPr="00091578" w:rsidRDefault="00091578" w:rsidP="00091578">
      <w:pPr>
        <w:widowControl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mallCaps/>
          <w:color w:val="000000"/>
          <w:szCs w:val="40"/>
          <w:rtl/>
          <w:lang w:val="en-US"/>
        </w:rPr>
      </w:pP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Cs w:val="40"/>
          <w:rtl/>
          <w:lang w:val="en-US"/>
        </w:rPr>
        <w:t>قسم</w:t>
      </w: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 w:val="40"/>
          <w:szCs w:val="40"/>
          <w:rtl/>
          <w:lang w:val="en-US" w:bidi="en-US"/>
        </w:rPr>
        <w:t xml:space="preserve"> </w:t>
      </w:r>
      <w:r w:rsidRPr="00091578">
        <w:rPr>
          <w:rFonts w:ascii="Sakkal Majalla" w:eastAsia="Times New Roman" w:hAnsi="Sakkal Majalla" w:cs="Sakkal Majalla"/>
          <w:b/>
          <w:bCs/>
          <w:smallCaps/>
          <w:color w:val="000000"/>
          <w:szCs w:val="40"/>
          <w:rtl/>
          <w:lang w:val="en-US"/>
        </w:rPr>
        <w:t>الفنون</w:t>
      </w:r>
    </w:p>
    <w:p w:rsidR="00091578" w:rsidRPr="00091578" w:rsidRDefault="00091578" w:rsidP="00091578">
      <w:pPr>
        <w:widowControl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mallCaps/>
          <w:color w:val="000000"/>
          <w:sz w:val="40"/>
          <w:lang w:val="en-US" w:bidi="en-US"/>
        </w:rPr>
      </w:pPr>
    </w:p>
    <w:p w:rsidR="00091578" w:rsidRPr="00091578" w:rsidRDefault="00091578" w:rsidP="00091578">
      <w:pPr>
        <w:pStyle w:val="Citationintense"/>
        <w:widowControl w:val="0"/>
        <w:spacing w:before="0" w:after="0" w:line="240" w:lineRule="auto"/>
        <w:rPr>
          <w:rStyle w:val="Accentuation"/>
          <w:rFonts w:ascii="Sakkal Majalla" w:hAnsi="Sakkal Majalla" w:cs="Sakkal Majalla"/>
          <w:color w:val="auto"/>
          <w:sz w:val="36"/>
          <w:szCs w:val="36"/>
          <w:lang w:val="en-US"/>
        </w:rPr>
      </w:pPr>
      <w:r w:rsidRPr="00091578">
        <w:rPr>
          <w:rStyle w:val="Accentuation"/>
          <w:rFonts w:ascii="Sakkal Majalla" w:hAnsi="Sakkal Majalla" w:cs="Sakkal Majalla"/>
          <w:color w:val="auto"/>
          <w:sz w:val="36"/>
          <w:szCs w:val="36"/>
          <w:rtl/>
        </w:rPr>
        <w:t>مسرح</w:t>
      </w:r>
      <w:r w:rsidRPr="00091578">
        <w:rPr>
          <w:rStyle w:val="Accentuation"/>
          <w:rFonts w:ascii="Sakkal Majalla" w:hAnsi="Sakkal Majalla" w:cs="Sakkal Majalla"/>
          <w:color w:val="auto"/>
          <w:sz w:val="36"/>
          <w:szCs w:val="36"/>
          <w:lang w:val="en-US"/>
        </w:rPr>
        <w:t>:</w:t>
      </w:r>
      <w:r w:rsidRPr="00091578">
        <w:rPr>
          <w:rStyle w:val="Accentuation"/>
          <w:rFonts w:ascii="Sakkal Majalla" w:hAnsi="Sakkal Majalla" w:cs="Sakkal Majalla"/>
          <w:color w:val="auto"/>
          <w:sz w:val="36"/>
          <w:szCs w:val="36"/>
          <w:rtl/>
          <w:lang w:val="en-US"/>
        </w:rPr>
        <w:t xml:space="preserve">   </w:t>
      </w:r>
      <w:r w:rsidRPr="00091578">
        <w:rPr>
          <w:rStyle w:val="Accentuation"/>
          <w:rFonts w:ascii="Sakkal Majalla" w:hAnsi="Sakkal Majalla" w:cs="Sakkal Majalla"/>
          <w:color w:val="auto"/>
          <w:sz w:val="36"/>
          <w:szCs w:val="36"/>
          <w:rtl/>
        </w:rPr>
        <w:t xml:space="preserve">  ماستر2 </w:t>
      </w:r>
    </w:p>
    <w:p w:rsidR="00091578" w:rsidRPr="00057FD9" w:rsidRDefault="00091578" w:rsidP="00091578">
      <w:pPr>
        <w:pStyle w:val="Citationintense"/>
        <w:widowControl w:val="0"/>
        <w:spacing w:before="0" w:after="0" w:line="240" w:lineRule="auto"/>
        <w:rPr>
          <w:rFonts w:cs="Traditional Arabic"/>
          <w:i w:val="0"/>
          <w:iCs w:val="0"/>
          <w:color w:val="auto"/>
          <w:sz w:val="32"/>
          <w:szCs w:val="32"/>
          <w:rtl/>
        </w:rPr>
      </w:pPr>
      <w:r w:rsidRPr="00091578">
        <w:rPr>
          <w:rStyle w:val="Accentuation"/>
          <w:rFonts w:ascii="Sakkal Majalla" w:hAnsi="Sakkal Majalla" w:cs="Sakkal Majalla"/>
          <w:color w:val="auto"/>
          <w:sz w:val="36"/>
          <w:szCs w:val="36"/>
          <w:rtl/>
        </w:rPr>
        <w:t xml:space="preserve">مادة  </w:t>
      </w:r>
      <w:r>
        <w:rPr>
          <w:rStyle w:val="Accentuation"/>
          <w:rFonts w:ascii="Sakkal Majalla" w:hAnsi="Sakkal Majalla" w:cs="Sakkal Majalla" w:hint="cs"/>
          <w:color w:val="auto"/>
          <w:sz w:val="36"/>
          <w:szCs w:val="36"/>
          <w:rtl/>
        </w:rPr>
        <w:t xml:space="preserve">النقد السيميائي                               </w:t>
      </w:r>
      <w:r w:rsidRPr="00091578">
        <w:rPr>
          <w:rStyle w:val="Accentuation"/>
          <w:rFonts w:ascii="Sakkal Majalla" w:hAnsi="Sakkal Majalla" w:cs="Sakkal Majalla"/>
          <w:color w:val="auto"/>
          <w:sz w:val="32"/>
          <w:szCs w:val="32"/>
          <w:rtl/>
        </w:rPr>
        <w:t>2020</w:t>
      </w:r>
      <w:r>
        <w:rPr>
          <w:rStyle w:val="Accentuation"/>
          <w:rFonts w:cs="Simplified Arabic" w:hint="cs"/>
          <w:color w:val="auto"/>
          <w:sz w:val="28"/>
          <w:szCs w:val="28"/>
          <w:rtl/>
        </w:rPr>
        <w:t>/</w:t>
      </w:r>
      <w:r w:rsidRPr="00091578">
        <w:rPr>
          <w:rStyle w:val="Accentuation"/>
          <w:rFonts w:ascii="Sakkal Majalla" w:hAnsi="Sakkal Majalla" w:cs="Sakkal Majalla"/>
          <w:color w:val="auto"/>
          <w:sz w:val="32"/>
          <w:szCs w:val="32"/>
          <w:rtl/>
        </w:rPr>
        <w:t>2021</w:t>
      </w:r>
    </w:p>
    <w:p w:rsidR="00091578" w:rsidRDefault="00091578" w:rsidP="00091578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proofErr w:type="gramStart"/>
      <w:r w:rsidRPr="00091578">
        <w:rPr>
          <w:rFonts w:ascii="Arabic Typesetting" w:hAnsi="Arabic Typesetting" w:cs="Arabic Typesetting"/>
          <w:b/>
          <w:bCs/>
          <w:sz w:val="40"/>
          <w:szCs w:val="40"/>
          <w:rtl/>
        </w:rPr>
        <w:t>التصحيح</w:t>
      </w:r>
      <w:proofErr w:type="gramEnd"/>
      <w:r w:rsidRPr="0009157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النّموذجي</w:t>
      </w:r>
    </w:p>
    <w:p w:rsidR="00091578" w:rsidRDefault="00091578" w:rsidP="00091578">
      <w:pPr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السؤال</w:t>
      </w:r>
      <w:proofErr w:type="gramEnd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الأول:</w:t>
      </w:r>
    </w:p>
    <w:p w:rsidR="00091578" w:rsidRPr="00091578" w:rsidRDefault="00091578" w:rsidP="00091578">
      <w:pPr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تقصي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سيميولوجيا الإبلاغ 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الدلالة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من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دائرة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اهتمامها،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فتقرّ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بالإبلاغ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كمعيار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أساسي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حصري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يحدّد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موضوع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حقل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دراسة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الّدلائل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.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ينهض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هذا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الإبلاغ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تحديدا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على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القصد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أو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proofErr w:type="gram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النية</w:t>
      </w:r>
      <w:proofErr w:type="gram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في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إيصال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الرسائل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.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بهذا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الشأن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يقول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الباحث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أيريك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proofErr w:type="spell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>بويسنس</w:t>
      </w:r>
      <w:proofErr w:type="spell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:" </w:t>
      </w:r>
      <w:proofErr w:type="spell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السيميولوجيا</w:t>
      </w:r>
      <w:proofErr w:type="spell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علم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يدرس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الإجراءات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الّتي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نلجأ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إليها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بغية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الإفصاح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عن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حالاتنا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الواعية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تلك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الّتي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نلجأ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إليها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بغرض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تأويل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الإبلاغ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الّذي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يصلنا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>..."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،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من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جملة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الدلائل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التي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سيستهدفها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هذا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التوجّه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التي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تحمل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هذه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الصفة،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أي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القصدية،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يمكننا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أن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نشير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إلى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/>
          <w:sz w:val="40"/>
          <w:szCs w:val="40"/>
        </w:rPr>
        <w:t>signal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 "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الإشارة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"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خلافا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للأنواع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الأخرى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من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العلامات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التي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تنتفي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عنها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النية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على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غرار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القرينة.</w:t>
      </w:r>
    </w:p>
    <w:p w:rsidR="00091578" w:rsidRDefault="00091578" w:rsidP="00091578">
      <w:pPr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السؤال</w:t>
      </w:r>
      <w:proofErr w:type="gramEnd"/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الثاني:</w:t>
      </w:r>
    </w:p>
    <w:p w:rsidR="00091578" w:rsidRPr="00091578" w:rsidRDefault="00091578" w:rsidP="00091578">
      <w:pPr>
        <w:spacing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يعدّ </w:t>
      </w:r>
      <w:proofErr w:type="gramStart"/>
      <w:r w:rsidR="00C470F2">
        <w:rPr>
          <w:rFonts w:ascii="Arabic Typesetting" w:hAnsi="Arabic Typesetting" w:cs="Arabic Typesetting"/>
          <w:sz w:val="40"/>
          <w:szCs w:val="40"/>
          <w:rtl/>
        </w:rPr>
        <w:t>الملفوظ</w:t>
      </w:r>
      <w:proofErr w:type="gramEnd"/>
      <w:r w:rsidR="00C470F2">
        <w:rPr>
          <w:rFonts w:ascii="Arabic Typesetting" w:hAnsi="Arabic Typesetting" w:cs="Arabic Typesetting"/>
          <w:sz w:val="40"/>
          <w:szCs w:val="40"/>
          <w:rtl/>
        </w:rPr>
        <w:t xml:space="preserve"> السرد</w:t>
      </w:r>
      <w:r w:rsidR="00C470F2">
        <w:rPr>
          <w:rFonts w:ascii="Arabic Typesetting" w:hAnsi="Arabic Typesetting" w:cs="Arabic Typesetting" w:hint="cs"/>
          <w:sz w:val="40"/>
          <w:szCs w:val="40"/>
          <w:rtl/>
        </w:rPr>
        <w:t xml:space="preserve">ي الوحدة الأساسية التي يقوم عليها الخطاب. و هو </w:t>
      </w:r>
      <w:r w:rsidR="00C470F2">
        <w:rPr>
          <w:rFonts w:ascii="Arabic Typesetting" w:hAnsi="Arabic Typesetting" w:cs="Arabic Typesetting"/>
          <w:sz w:val="40"/>
          <w:szCs w:val="40"/>
          <w:rtl/>
        </w:rPr>
        <w:t>تعديل منهجي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للوظيفة في </w:t>
      </w:r>
      <w:proofErr w:type="spell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>مورفولوجيا</w:t>
      </w:r>
      <w:proofErr w:type="spell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الحكاية العجيبة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 التي عرّفناها سابقا كما يلي: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"هي فعل شخصية ما معرّفة من منظور دلالتها ضمن سيرورة الحبكة". و نذكّر بهذا الشأن أنّ فلاديمير بروب أحصى في دراسته 31 وظيفة تبدأ بالابتعاد أو الغياب و تنتهي بزواج البطل من الأميرة و اعتلائه العرش، و ذلك انطلاقا من مدوّنة القصص العجيبة التي اشتغل عليه و شملت أكثر من مائة قصّة شعبية روسية.  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i/>
          <w:iCs/>
          <w:sz w:val="40"/>
          <w:szCs w:val="40"/>
          <w:rtl/>
        </w:rPr>
      </w:pP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لقد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ابتدأ </w:t>
      </w:r>
      <w:proofErr w:type="spell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>ألجيدراس</w:t>
      </w:r>
      <w:proofErr w:type="spellEnd"/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proofErr w:type="spell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>جوليان</w:t>
      </w:r>
      <w:proofErr w:type="spellEnd"/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proofErr w:type="spell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>غريماس</w:t>
      </w:r>
      <w:proofErr w:type="spellEnd"/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، رائد مدرسة باريس </w:t>
      </w:r>
      <w:proofErr w:type="spell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>للسيميائية</w:t>
      </w:r>
      <w:proofErr w:type="spellEnd"/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، من هذا التصّور ذاته للوظيفة و 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سعى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بالمرّة 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>إلى تجاوز التنافر القائم بينها وبين دائرة الفع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ل و الشخصيات</w:t>
      </w:r>
      <w:r w:rsidRPr="00091578">
        <w:rPr>
          <w:rFonts w:ascii="Arabic Typesetting" w:hAnsi="Arabic Typesetting" w:cs="Arabic Typesetting"/>
          <w:sz w:val="40"/>
          <w:szCs w:val="40"/>
        </w:rPr>
        <w:t xml:space="preserve"> 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: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i/>
          <w:iCs/>
          <w:sz w:val="40"/>
          <w:szCs w:val="40"/>
          <w:rtl/>
        </w:rPr>
      </w:pP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" من خلال تمثيل كل فعل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بمحمول،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مع تكميل هذا التمثيل بضم العوامل </w:t>
      </w:r>
      <w:proofErr w:type="gramStart"/>
      <w:r w:rsidRPr="00091578">
        <w:rPr>
          <w:rFonts w:ascii="Arabic Typesetting" w:hAnsi="Arabic Typesetting" w:cs="Arabic Typesetting"/>
          <w:sz w:val="40"/>
          <w:szCs w:val="40"/>
          <w:rtl/>
        </w:rPr>
        <w:t>المشاركين</w:t>
      </w:r>
      <w:proofErr w:type="gram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في الفعل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"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i/>
          <w:iCs/>
          <w:sz w:val="40"/>
          <w:szCs w:val="40"/>
          <w:rtl/>
        </w:rPr>
      </w:pPr>
      <w:r w:rsidRPr="00091578">
        <w:rPr>
          <w:rFonts w:ascii="Arabic Typesetting" w:hAnsi="Arabic Typesetting" w:cs="Arabic Typesetting"/>
          <w:sz w:val="40"/>
          <w:szCs w:val="40"/>
          <w:rtl/>
        </w:rPr>
        <w:t>يعطينا هذ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الت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ّوليف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الشكل القاعدي الآتي :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/>
          <w:sz w:val="40"/>
          <w:szCs w:val="40"/>
          <w:rtl/>
        </w:rPr>
        <w:t>(م س) ملفوظ سردي = ( ع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>مل 1، عامل2، عامل3.....)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يمكننا على هذا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الأساس،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اعتبار الملفوظ السردي الوحدة الابتدائية التي يقوم عليها التنظيم </w:t>
      </w:r>
      <w:proofErr w:type="gramStart"/>
      <w:r w:rsidRPr="00091578">
        <w:rPr>
          <w:rFonts w:ascii="Arabic Typesetting" w:hAnsi="Arabic Typesetting" w:cs="Arabic Typesetting"/>
          <w:sz w:val="40"/>
          <w:szCs w:val="40"/>
          <w:rtl/>
        </w:rPr>
        <w:t>السردي .</w:t>
      </w:r>
      <w:proofErr w:type="gram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وهو يتحدد كعلاقة – صلة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هذا و يمكننا أن نميّز بين صنفين من الملفوظات.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 w:hint="cs"/>
          <w:sz w:val="40"/>
          <w:szCs w:val="40"/>
          <w:rtl/>
        </w:rPr>
        <w:lastRenderedPageBreak/>
        <w:t xml:space="preserve">- </w:t>
      </w:r>
      <w:proofErr w:type="gramStart"/>
      <w:r w:rsidRPr="00091578">
        <w:rPr>
          <w:rFonts w:ascii="Arabic Typesetting" w:hAnsi="Arabic Typesetting" w:cs="Arabic Typesetting"/>
          <w:sz w:val="40"/>
          <w:szCs w:val="40"/>
          <w:rtl/>
        </w:rPr>
        <w:t>ملفوظ</w:t>
      </w:r>
      <w:proofErr w:type="gram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الحالة </w:t>
      </w:r>
      <w:proofErr w:type="spellStart"/>
      <w:r w:rsidRPr="00091578">
        <w:rPr>
          <w:rFonts w:ascii="Arabic Typesetting" w:hAnsi="Arabic Typesetting" w:cs="Arabic Typesetting"/>
          <w:sz w:val="40"/>
          <w:szCs w:val="40"/>
        </w:rPr>
        <w:t>Enoncé</w:t>
      </w:r>
      <w:proofErr w:type="spellEnd"/>
      <w:r w:rsidRPr="00091578">
        <w:rPr>
          <w:rFonts w:ascii="Arabic Typesetting" w:hAnsi="Arabic Typesetting" w:cs="Arabic Typesetting"/>
          <w:sz w:val="40"/>
          <w:szCs w:val="40"/>
        </w:rPr>
        <w:t xml:space="preserve"> d' état 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/>
          <w:sz w:val="40"/>
          <w:szCs w:val="40"/>
          <w:rtl/>
        </w:rPr>
        <w:t>يتحد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ّ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>د مفهوم ملفوظ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الحالة من خلال العامل/الفاعل والعامل/الموضوع، وعلى ضوء الوظيفة / </w:t>
      </w:r>
      <w:proofErr w:type="gramStart"/>
      <w:r w:rsidRPr="00091578">
        <w:rPr>
          <w:rFonts w:ascii="Arabic Typesetting" w:hAnsi="Arabic Typesetting" w:cs="Arabic Typesetting"/>
          <w:sz w:val="40"/>
          <w:szCs w:val="40"/>
          <w:rtl/>
        </w:rPr>
        <w:t>الصلة .</w:t>
      </w:r>
      <w:proofErr w:type="gramEnd"/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الوظيفة: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الصلة ( </w:t>
      </w:r>
      <w:proofErr w:type="gramStart"/>
      <w:r w:rsidRPr="00091578">
        <w:rPr>
          <w:rFonts w:ascii="Arabic Typesetting" w:hAnsi="Arabic Typesetting" w:cs="Arabic Typesetting"/>
          <w:sz w:val="40"/>
          <w:szCs w:val="40"/>
          <w:rtl/>
        </w:rPr>
        <w:t>فاعل ،</w:t>
      </w:r>
      <w:proofErr w:type="gram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موضوع )</w:t>
      </w:r>
    </w:p>
    <w:p w:rsidR="00091578" w:rsidRPr="00091578" w:rsidRDefault="00091578" w:rsidP="00091578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إنّ العلاقة بين الفاعل و الموضوع علاقة تضامنية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فلا الفاعل يعرّف بمعزل عن الموضوع و </w:t>
      </w:r>
      <w:proofErr w:type="spell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الا</w:t>
      </w:r>
      <w:proofErr w:type="spellEnd"/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 الموضوع يعرّف بدون فاعل.</w:t>
      </w:r>
    </w:p>
    <w:p w:rsidR="00091578" w:rsidRPr="00091578" w:rsidRDefault="00091578" w:rsidP="00091578">
      <w:pPr>
        <w:spacing w:after="0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هذه الصلة </w:t>
      </w:r>
      <w:r w:rsidRPr="00091578">
        <w:rPr>
          <w:rFonts w:ascii="Arabic Typesetting" w:hAnsi="Arabic Typesetting" w:cs="Arabic Typesetting"/>
          <w:sz w:val="40"/>
          <w:szCs w:val="40"/>
        </w:rPr>
        <w:t>jonction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إما أن تكون إيجابية وتسمى عندئذ وصلة </w:t>
      </w:r>
      <w:r w:rsidRPr="00091578">
        <w:rPr>
          <w:rFonts w:ascii="Arabic Typesetting" w:hAnsi="Arabic Typesetting" w:cs="Arabic Typesetting"/>
          <w:sz w:val="40"/>
          <w:szCs w:val="40"/>
        </w:rPr>
        <w:t xml:space="preserve">  Conjonction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و يرمز لها بـ </w:t>
      </w:r>
      <w:r w:rsidRPr="00091578">
        <w:rPr>
          <w:rFonts w:ascii="Times New Roman" w:hAnsi="Times New Roman" w:cs="Times New Roman" w:hint="cs"/>
          <w:sz w:val="40"/>
          <w:szCs w:val="40"/>
          <w:rtl/>
        </w:rPr>
        <w:t>∩</w:t>
      </w:r>
      <w:proofErr w:type="gramStart"/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و</w:t>
      </w:r>
      <w:proofErr w:type="gramEnd"/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 إ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ما أن تكون سلبية، فتسمى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فصلة   </w:t>
      </w:r>
      <w:r w:rsidRPr="00091578">
        <w:rPr>
          <w:rFonts w:ascii="Arabic Typesetting" w:hAnsi="Arabic Typesetting" w:cs="Arabic Typesetting"/>
          <w:sz w:val="40"/>
          <w:szCs w:val="40"/>
        </w:rPr>
        <w:t>Disjonction</w:t>
      </w:r>
      <w:r w:rsidRPr="0009157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 xml:space="preserve">و يرمز لها بـ </w:t>
      </w:r>
      <w:r w:rsidRPr="00091578">
        <w:rPr>
          <w:rFonts w:ascii="Arabic Typesetting" w:hAnsi="Arabic Typesetting" w:cs="Arabic Typesetting"/>
          <w:sz w:val="40"/>
          <w:szCs w:val="40"/>
        </w:rPr>
        <w:t>U</w:t>
      </w:r>
    </w:p>
    <w:p w:rsidR="00091578" w:rsidRPr="00091578" w:rsidRDefault="00091578" w:rsidP="00C470F2">
      <w:pPr>
        <w:spacing w:after="0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ترتبط الأولى بملفوظ الحالة </w:t>
      </w:r>
      <w:proofErr w:type="spellStart"/>
      <w:r w:rsidRPr="00091578">
        <w:rPr>
          <w:rFonts w:ascii="Arabic Typesetting" w:hAnsi="Arabic Typesetting" w:cs="Arabic Typesetting"/>
          <w:sz w:val="40"/>
          <w:szCs w:val="40"/>
          <w:rtl/>
        </w:rPr>
        <w:t>الوصلي</w:t>
      </w:r>
      <w:proofErr w:type="spell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بينما ترتبط الثانية بملفوظ الحالة الفصلي ولغرض الاقتصاد في الكلام ، تأخذ الوحدتان تبعا الرموز الآتية </w:t>
      </w:r>
      <w:r w:rsidRPr="00091578">
        <w:rPr>
          <w:rFonts w:ascii="Arabic Typesetting" w:hAnsi="Arabic Typesetting" w:cs="Arabic Typesetting" w:hint="cs"/>
          <w:sz w:val="40"/>
          <w:szCs w:val="40"/>
          <w:rtl/>
        </w:rPr>
        <w:t>الشكل التالي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>:</w:t>
      </w:r>
    </w:p>
    <w:p w:rsidR="00091578" w:rsidRPr="00091578" w:rsidRDefault="00091578" w:rsidP="00C470F2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م </w:t>
      </w:r>
      <w:proofErr w:type="gramStart"/>
      <w:r w:rsidRPr="00091578">
        <w:rPr>
          <w:rFonts w:ascii="Arabic Typesetting" w:hAnsi="Arabic Typesetting" w:cs="Arabic Typesetting"/>
          <w:sz w:val="40"/>
          <w:szCs w:val="40"/>
          <w:rtl/>
        </w:rPr>
        <w:t>ح :</w:t>
      </w:r>
      <w:proofErr w:type="gram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( فا</w:t>
      </w:r>
      <w:r w:rsidRPr="00091578">
        <w:rPr>
          <w:rFonts w:ascii="Times New Roman" w:hAnsi="Times New Roman" w:cs="Times New Roman" w:hint="cs"/>
          <w:sz w:val="40"/>
          <w:szCs w:val="40"/>
          <w:rtl/>
        </w:rPr>
        <w:t>∩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م )</w:t>
      </w:r>
    </w:p>
    <w:p w:rsidR="00091578" w:rsidRPr="00091578" w:rsidRDefault="00091578" w:rsidP="00C470F2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م </w:t>
      </w:r>
      <w:proofErr w:type="gramStart"/>
      <w:r w:rsidRPr="00091578">
        <w:rPr>
          <w:rFonts w:ascii="Arabic Typesetting" w:hAnsi="Arabic Typesetting" w:cs="Arabic Typesetting"/>
          <w:sz w:val="40"/>
          <w:szCs w:val="40"/>
          <w:rtl/>
        </w:rPr>
        <w:t>ح :</w:t>
      </w:r>
      <w:proofErr w:type="gramEnd"/>
      <w:r w:rsidRPr="00091578">
        <w:rPr>
          <w:rFonts w:ascii="Arabic Typesetting" w:hAnsi="Arabic Typesetting" w:cs="Arabic Typesetting"/>
          <w:sz w:val="40"/>
          <w:szCs w:val="40"/>
          <w:rtl/>
        </w:rPr>
        <w:t xml:space="preserve"> ( فا </w:t>
      </w:r>
      <w:r w:rsidRPr="00091578">
        <w:rPr>
          <w:rFonts w:ascii="Arabic Typesetting" w:hAnsi="Arabic Typesetting" w:cs="Arabic Typesetting"/>
          <w:sz w:val="40"/>
          <w:szCs w:val="40"/>
        </w:rPr>
        <w:t>U</w:t>
      </w:r>
      <w:r w:rsidRPr="00091578">
        <w:rPr>
          <w:rFonts w:ascii="Arabic Typesetting" w:hAnsi="Arabic Typesetting" w:cs="Arabic Typesetting"/>
          <w:sz w:val="40"/>
          <w:szCs w:val="40"/>
          <w:rtl/>
        </w:rPr>
        <w:t>م )</w:t>
      </w:r>
    </w:p>
    <w:p w:rsidR="005708BA" w:rsidRPr="005708BA" w:rsidRDefault="005708BA" w:rsidP="005708BA">
      <w:pPr>
        <w:spacing w:after="0"/>
        <w:jc w:val="both"/>
        <w:rPr>
          <w:rFonts w:ascii="Arabic Typesetting" w:hAnsi="Arabic Typesetting" w:cs="Arabic Typesetting"/>
          <w:i/>
          <w:iCs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</w:rPr>
        <w:t xml:space="preserve"> -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ملفوظ الفعل </w:t>
      </w:r>
      <w:proofErr w:type="spellStart"/>
      <w:r w:rsidRPr="005708BA">
        <w:rPr>
          <w:rFonts w:ascii="Arabic Typesetting" w:hAnsi="Arabic Typesetting" w:cs="Arabic Typesetting"/>
          <w:sz w:val="40"/>
          <w:szCs w:val="40"/>
        </w:rPr>
        <w:t>Enoncé</w:t>
      </w:r>
      <w:proofErr w:type="spellEnd"/>
      <w:r w:rsidRPr="005708BA">
        <w:rPr>
          <w:rFonts w:ascii="Arabic Typesetting" w:hAnsi="Arabic Typesetting" w:cs="Arabic Typesetting"/>
          <w:sz w:val="40"/>
          <w:szCs w:val="40"/>
        </w:rPr>
        <w:t xml:space="preserve"> de faire </w:t>
      </w:r>
    </w:p>
    <w:p w:rsidR="005708BA" w:rsidRPr="005708BA" w:rsidRDefault="005708BA" w:rsidP="005708BA">
      <w:pPr>
        <w:spacing w:after="0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يمكننا صياغة </w:t>
      </w:r>
      <w:proofErr w:type="gramStart"/>
      <w:r w:rsidRPr="005708BA">
        <w:rPr>
          <w:rFonts w:ascii="Arabic Typesetting" w:hAnsi="Arabic Typesetting" w:cs="Arabic Typesetting"/>
          <w:sz w:val="40"/>
          <w:szCs w:val="40"/>
          <w:rtl/>
        </w:rPr>
        <w:t>ملفوظ</w:t>
      </w:r>
      <w:proofErr w:type="gramEnd"/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الفعل 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>كالآتي:</w:t>
      </w:r>
    </w:p>
    <w:p w:rsidR="005708BA" w:rsidRPr="005708BA" w:rsidRDefault="005708BA" w:rsidP="005708BA">
      <w:pPr>
        <w:spacing w:after="0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5708BA">
        <w:rPr>
          <w:rFonts w:ascii="Arabic Typesetting" w:hAnsi="Arabic Typesetting" w:cs="Arabic Typesetting"/>
          <w:sz w:val="40"/>
          <w:szCs w:val="40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67.05pt;margin-top:16.6pt;width:42.3pt;height:.9pt;flip:x;z-index:251661312" o:connectortype="straight">
            <v:stroke endarrow="block"/>
          </v:shape>
        </w:pict>
      </w:r>
      <w:r w:rsidRPr="005708BA">
        <w:rPr>
          <w:rFonts w:ascii="Arabic Typesetting" w:hAnsi="Arabic Typesetting" w:cs="Arabic Typesetting"/>
          <w:sz w:val="40"/>
          <w:szCs w:val="40"/>
          <w:rtl/>
          <w:lang w:bidi="ar-SA"/>
        </w:rPr>
        <w:pict>
          <v:shape id="_x0000_s1030" type="#_x0000_t32" style="position:absolute;left:0;text-align:left;margin-left:383.4pt;margin-top:13.1pt;width:12.65pt;height:0;flip:x;z-index:251660288" o:connectortype="straight">
            <v:stroke endarrow="block"/>
          </v:shape>
        </w:pic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ف (الفعل) </w:t>
      </w:r>
      <w:proofErr w:type="spellStart"/>
      <w:r w:rsidRPr="005708BA">
        <w:rPr>
          <w:rFonts w:ascii="Arabic Typesetting" w:hAnsi="Arabic Typesetting" w:cs="Arabic Typesetting"/>
          <w:sz w:val="40"/>
          <w:szCs w:val="40"/>
          <w:rtl/>
        </w:rPr>
        <w:t>تح</w:t>
      </w:r>
      <w:proofErr w:type="spellEnd"/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 xml:space="preserve">    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>(تحويلي)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 xml:space="preserve"> :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( فا</w:t>
      </w:r>
      <w:r w:rsidRPr="005708BA">
        <w:rPr>
          <w:rFonts w:ascii="Times New Roman" w:hAnsi="Times New Roman" w:cs="Times New Roman" w:hint="cs"/>
          <w:sz w:val="40"/>
          <w:szCs w:val="40"/>
          <w:rtl/>
        </w:rPr>
        <w:t>∩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م )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( فا </w:t>
      </w:r>
      <w:r w:rsidRPr="005708BA">
        <w:rPr>
          <w:rFonts w:ascii="Arabic Typesetting" w:hAnsi="Arabic Typesetting" w:cs="Arabic Typesetting"/>
          <w:sz w:val="40"/>
          <w:szCs w:val="40"/>
        </w:rPr>
        <w:t>U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>م )</w:t>
      </w:r>
    </w:p>
    <w:p w:rsidR="00091578" w:rsidRPr="00091578" w:rsidRDefault="005708BA" w:rsidP="005708BA">
      <w:pPr>
        <w:spacing w:after="0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5708BA">
        <w:rPr>
          <w:rFonts w:ascii="Arabic Typesetting" w:hAnsi="Arabic Typesetting" w:cs="Arabic Typesetting"/>
          <w:sz w:val="40"/>
          <w:szCs w:val="40"/>
          <w:rtl/>
        </w:rPr>
        <w:t>يعب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>ّ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ر هذا التحويل </w:t>
      </w:r>
      <w:r w:rsidRPr="005708BA">
        <w:rPr>
          <w:rFonts w:ascii="Arabic Typesetting" w:hAnsi="Arabic Typesetting" w:cs="Arabic Typesetting"/>
          <w:sz w:val="40"/>
          <w:szCs w:val="40"/>
        </w:rPr>
        <w:t>Transformation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عن الانتقال من حالة إلى حالة أخرى، 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>فبعد أن كان هاملت في وص</w:t>
      </w:r>
      <w:proofErr w:type="gramStart"/>
      <w:r w:rsidRPr="005708BA">
        <w:rPr>
          <w:rFonts w:ascii="Arabic Typesetting" w:hAnsi="Arabic Typesetting" w:cs="Arabic Typesetting" w:hint="cs"/>
          <w:sz w:val="40"/>
          <w:szCs w:val="40"/>
          <w:rtl/>
        </w:rPr>
        <w:t>لة مع أوف</w:t>
      </w:r>
      <w:proofErr w:type="gramEnd"/>
      <w:r w:rsidRPr="005708BA">
        <w:rPr>
          <w:rFonts w:ascii="Arabic Typesetting" w:hAnsi="Arabic Typesetting" w:cs="Arabic Typesetting" w:hint="cs"/>
          <w:sz w:val="40"/>
          <w:szCs w:val="40"/>
          <w:rtl/>
        </w:rPr>
        <w:t>يليا باعتبارها موضوع قيمة، صار في فصلة معها نتيجة تدخّل فاعل منفذ. و في هذا الإطار تحديدا ينبغي أن نشير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إلى أن ملفوظ الفعل يختلف عن ملفوظ الحالة من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>حيث طبيعة</w:t>
      </w:r>
      <w:r w:rsidRPr="005708BA">
        <w:rPr>
          <w:rFonts w:ascii="Arabic Typesetting" w:hAnsi="Arabic Typesetting" w:cs="Arabic Typesetting" w:hint="cs"/>
          <w:sz w:val="40"/>
          <w:szCs w:val="40"/>
          <w:vertAlign w:val="superscript"/>
          <w:rtl/>
        </w:rPr>
        <w:t xml:space="preserve"> 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الموضوع ، 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 xml:space="preserve">فلئن كان 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>هذا الأخير يحيل في الوحدة الأولى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>(أي ملفوظ الحالة)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على ماه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>ية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 xml:space="preserve">فإنّه 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>يحيل في الوحدة الثانية على علاقة. فالحالة تفترض</w:t>
      </w:r>
      <w:r w:rsidRPr="005708BA">
        <w:rPr>
          <w:rFonts w:ascii="Arabic Typesetting" w:hAnsi="Arabic Typesetting" w:cs="Arabic Typesetting" w:hint="cs"/>
          <w:sz w:val="40"/>
          <w:szCs w:val="40"/>
          <w:rtl/>
        </w:rPr>
        <w:t xml:space="preserve"> إذا</w:t>
      </w:r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عاملين ( الموضوع والفاعل ) إلا أن الفعل يفترض </w:t>
      </w:r>
      <w:proofErr w:type="spellStart"/>
      <w:r w:rsidRPr="005708BA">
        <w:rPr>
          <w:rFonts w:ascii="Arabic Typesetting" w:hAnsi="Arabic Typesetting" w:cs="Arabic Typesetting"/>
          <w:sz w:val="40"/>
          <w:szCs w:val="40"/>
          <w:rtl/>
        </w:rPr>
        <w:t>ملفوظي</w:t>
      </w:r>
      <w:proofErr w:type="spellEnd"/>
      <w:r w:rsidRPr="005708BA">
        <w:rPr>
          <w:rFonts w:ascii="Arabic Typesetting" w:hAnsi="Arabic Typesetting" w:cs="Arabic Typesetting"/>
          <w:sz w:val="40"/>
          <w:szCs w:val="40"/>
          <w:rtl/>
        </w:rPr>
        <w:t xml:space="preserve"> حالة</w:t>
      </w:r>
      <w:r>
        <w:rPr>
          <w:rFonts w:ascii="Arabic Typesetting" w:hAnsi="Arabic Typesetting" w:cs="Arabic Typesetting"/>
          <w:sz w:val="40"/>
          <w:szCs w:val="40"/>
        </w:rPr>
        <w:t>.</w:t>
      </w:r>
    </w:p>
    <w:p w:rsidR="00091578" w:rsidRPr="00091578" w:rsidRDefault="00091578" w:rsidP="00091578">
      <w:pPr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F24E30" w:rsidRDefault="00F24E30" w:rsidP="00091578"/>
    <w:sectPr w:rsidR="00F24E30" w:rsidSect="00F2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91578"/>
    <w:rsid w:val="00091578"/>
    <w:rsid w:val="00162C84"/>
    <w:rsid w:val="003423B0"/>
    <w:rsid w:val="003E0B21"/>
    <w:rsid w:val="00400856"/>
    <w:rsid w:val="00420117"/>
    <w:rsid w:val="005708BA"/>
    <w:rsid w:val="00592981"/>
    <w:rsid w:val="0096133F"/>
    <w:rsid w:val="00A851B7"/>
    <w:rsid w:val="00BD66D9"/>
    <w:rsid w:val="00C10A26"/>
    <w:rsid w:val="00C2567A"/>
    <w:rsid w:val="00C470F2"/>
    <w:rsid w:val="00D02AC5"/>
    <w:rsid w:val="00D21704"/>
    <w:rsid w:val="00F24E30"/>
    <w:rsid w:val="00F6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78"/>
    <w:pPr>
      <w:bidi/>
      <w:spacing w:after="200" w:line="276" w:lineRule="auto"/>
      <w:ind w:left="-851" w:right="-851"/>
      <w:jc w:val="left"/>
    </w:pPr>
    <w:rPr>
      <w:rFonts w:ascii="Calibri" w:eastAsia="Calibri" w:hAnsi="Calibri" w:cs="Arial"/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BD66D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66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66D9"/>
    <w:rPr>
      <w:rFonts w:ascii="Calibri" w:eastAsia="Calibri" w:hAnsi="Calibri" w:cs="Arial"/>
      <w:b/>
      <w:bCs/>
      <w:i/>
      <w:iCs/>
      <w:color w:val="4F81BD" w:themeColor="accent1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2021-03-24T19:19:00Z</dcterms:created>
  <dcterms:modified xsi:type="dcterms:W3CDTF">2021-04-06T20:31:00Z</dcterms:modified>
</cp:coreProperties>
</file>